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980821" w14:textId="77777777" w:rsidR="00EC03A5" w:rsidRPr="007A4A8C" w:rsidRDefault="00EC03A5" w:rsidP="007A4A8C">
      <w:pPr>
        <w:spacing w:after="0"/>
        <w:rPr>
          <w:b/>
        </w:rPr>
      </w:pPr>
    </w:p>
    <w:p w14:paraId="4F7CC403" w14:textId="77C1150F" w:rsidR="000B01A4" w:rsidRDefault="00DC4C91" w:rsidP="000B01A4">
      <w:pPr>
        <w:pStyle w:val="ListParagraph"/>
        <w:numPr>
          <w:ilvl w:val="0"/>
          <w:numId w:val="1"/>
        </w:numPr>
        <w:spacing w:after="0"/>
      </w:pPr>
      <w:bookmarkStart w:id="0" w:name="_GoBack"/>
      <w:bookmarkEnd w:id="0"/>
      <w:r>
        <w:t>Working group n</w:t>
      </w:r>
      <w:r w:rsidR="000B01A4" w:rsidRPr="003110FB">
        <w:t>ame:</w:t>
      </w:r>
    </w:p>
    <w:p w14:paraId="47382055" w14:textId="77777777" w:rsidR="00E22586" w:rsidRPr="003110FB" w:rsidRDefault="00E22586" w:rsidP="00E22586">
      <w:pPr>
        <w:pStyle w:val="ListParagraph"/>
        <w:spacing w:after="0"/>
      </w:pPr>
    </w:p>
    <w:p w14:paraId="007881C2" w14:textId="67E3D71D" w:rsidR="000B01A4" w:rsidRPr="00E22586" w:rsidRDefault="00A8431A" w:rsidP="00E22586">
      <w:pPr>
        <w:spacing w:after="0"/>
        <w:ind w:left="720"/>
        <w:rPr>
          <w:i/>
          <w:color w:val="0070C0"/>
        </w:rPr>
      </w:pPr>
      <w:r w:rsidRPr="00E22586">
        <w:rPr>
          <w:i/>
          <w:color w:val="0070C0"/>
        </w:rPr>
        <w:t>Operations- Retail Establishment</w:t>
      </w:r>
    </w:p>
    <w:p w14:paraId="403A0A8A" w14:textId="77777777" w:rsidR="000B01A4" w:rsidRPr="003110FB" w:rsidRDefault="000B01A4" w:rsidP="000B01A4">
      <w:pPr>
        <w:pStyle w:val="ListParagraph"/>
        <w:spacing w:after="0"/>
      </w:pPr>
    </w:p>
    <w:p w14:paraId="6AA07814" w14:textId="77777777" w:rsidR="00E22586" w:rsidRDefault="00DC4C91" w:rsidP="007A4A8C">
      <w:pPr>
        <w:pStyle w:val="ListParagraph"/>
        <w:numPr>
          <w:ilvl w:val="0"/>
          <w:numId w:val="1"/>
        </w:numPr>
        <w:spacing w:after="0"/>
      </w:pPr>
      <w:r>
        <w:t>Individual s</w:t>
      </w:r>
      <w:r w:rsidR="007746E2" w:rsidRPr="003110FB">
        <w:t>ponsor(s):</w:t>
      </w:r>
    </w:p>
    <w:p w14:paraId="0DB32DFC" w14:textId="292B8689" w:rsidR="007746E2" w:rsidRPr="003110FB" w:rsidRDefault="007746E2" w:rsidP="00E22586">
      <w:pPr>
        <w:pStyle w:val="ListParagraph"/>
        <w:spacing w:after="0"/>
      </w:pPr>
      <w:r w:rsidRPr="003110FB">
        <w:t xml:space="preserve"> </w:t>
      </w:r>
    </w:p>
    <w:p w14:paraId="2DF7D040" w14:textId="2FEC1BF6" w:rsidR="000B01A4" w:rsidRPr="00E22586" w:rsidRDefault="00A8431A" w:rsidP="00E22586">
      <w:pPr>
        <w:spacing w:after="0"/>
        <w:ind w:left="720"/>
        <w:rPr>
          <w:i/>
          <w:color w:val="0070C0"/>
        </w:rPr>
      </w:pPr>
      <w:r w:rsidRPr="00E22586">
        <w:rPr>
          <w:i/>
          <w:color w:val="0070C0"/>
        </w:rPr>
        <w:t>Riana Durrett, Executive Director, Nevada Dispensary Association</w:t>
      </w:r>
    </w:p>
    <w:p w14:paraId="2AC05791" w14:textId="10425EE7" w:rsidR="00A8431A" w:rsidRDefault="00A8431A" w:rsidP="00E22586">
      <w:pPr>
        <w:spacing w:after="0"/>
        <w:ind w:left="720"/>
        <w:rPr>
          <w:i/>
          <w:color w:val="0070C0"/>
        </w:rPr>
      </w:pPr>
      <w:r w:rsidRPr="00E22586">
        <w:rPr>
          <w:i/>
          <w:color w:val="0070C0"/>
        </w:rPr>
        <w:t xml:space="preserve">Andrew Jolley, President, </w:t>
      </w:r>
      <w:r w:rsidR="00D92BBB" w:rsidRPr="00E22586">
        <w:rPr>
          <w:i/>
          <w:color w:val="0070C0"/>
        </w:rPr>
        <w:t>Nevada Dispensary Association</w:t>
      </w:r>
    </w:p>
    <w:p w14:paraId="7E913D33" w14:textId="3F1E824C" w:rsidR="00EE427D" w:rsidRPr="00E22586" w:rsidRDefault="00EE427D" w:rsidP="00E22586">
      <w:pPr>
        <w:spacing w:after="0"/>
        <w:ind w:left="720"/>
        <w:rPr>
          <w:i/>
          <w:color w:val="0070C0"/>
        </w:rPr>
      </w:pPr>
      <w:r>
        <w:rPr>
          <w:i/>
          <w:color w:val="0070C0"/>
        </w:rPr>
        <w:t>Wes Henderson</w:t>
      </w:r>
      <w:proofErr w:type="gramStart"/>
      <w:r>
        <w:rPr>
          <w:i/>
          <w:color w:val="0070C0"/>
        </w:rPr>
        <w:t xml:space="preserve">,  </w:t>
      </w:r>
      <w:r w:rsidR="00E74843">
        <w:rPr>
          <w:i/>
          <w:color w:val="0070C0"/>
        </w:rPr>
        <w:t>Executive</w:t>
      </w:r>
      <w:proofErr w:type="gramEnd"/>
      <w:r w:rsidR="00E74843">
        <w:rPr>
          <w:i/>
          <w:color w:val="0070C0"/>
        </w:rPr>
        <w:t xml:space="preserve"> Director, Nevada League of Cities &amp; Municipalities</w:t>
      </w:r>
    </w:p>
    <w:p w14:paraId="16FCE777" w14:textId="77777777" w:rsidR="000B01A4" w:rsidRPr="003110FB" w:rsidRDefault="000B01A4" w:rsidP="000B01A4">
      <w:pPr>
        <w:spacing w:after="0"/>
      </w:pPr>
    </w:p>
    <w:p w14:paraId="3CADE330" w14:textId="1DB18568" w:rsidR="00E9081E" w:rsidRDefault="00DC4C91" w:rsidP="00E9081E">
      <w:pPr>
        <w:pStyle w:val="ListParagraph"/>
        <w:numPr>
          <w:ilvl w:val="0"/>
          <w:numId w:val="1"/>
        </w:numPr>
        <w:spacing w:after="0"/>
      </w:pPr>
      <w:r>
        <w:t>Describe the r</w:t>
      </w:r>
      <w:r w:rsidR="000B01A4" w:rsidRPr="003110FB">
        <w:t>ecommendation:</w:t>
      </w:r>
    </w:p>
    <w:p w14:paraId="48FA4874" w14:textId="77777777" w:rsidR="00E22586" w:rsidRDefault="00E22586" w:rsidP="00E22586">
      <w:pPr>
        <w:pStyle w:val="ListParagraph"/>
        <w:spacing w:after="0"/>
      </w:pPr>
    </w:p>
    <w:p w14:paraId="52132487" w14:textId="5430C309" w:rsidR="00280946" w:rsidRPr="00E22586" w:rsidRDefault="00280946" w:rsidP="00E22586">
      <w:pPr>
        <w:spacing w:after="0"/>
        <w:ind w:left="720"/>
        <w:jc w:val="both"/>
        <w:rPr>
          <w:i/>
          <w:color w:val="0070C0"/>
        </w:rPr>
      </w:pPr>
      <w:r w:rsidRPr="00E22586">
        <w:rPr>
          <w:i/>
          <w:color w:val="0070C0"/>
        </w:rPr>
        <w:t xml:space="preserve">The Operations- Retail Establishment working group </w:t>
      </w:r>
      <w:r w:rsidR="003D0C3C" w:rsidRPr="00E22586">
        <w:rPr>
          <w:i/>
          <w:color w:val="0070C0"/>
        </w:rPr>
        <w:t xml:space="preserve">recommends that </w:t>
      </w:r>
      <w:r w:rsidR="008B06BB">
        <w:rPr>
          <w:i/>
          <w:color w:val="0070C0"/>
        </w:rPr>
        <w:t xml:space="preserve">the Department and any affected local government enact regulations and ordinances permitting a </w:t>
      </w:r>
      <w:r w:rsidR="003D0C3C" w:rsidRPr="00E22586">
        <w:rPr>
          <w:i/>
          <w:color w:val="0070C0"/>
        </w:rPr>
        <w:t>medical marijuana establishment and a retail marijuana establishment t</w:t>
      </w:r>
      <w:r w:rsidR="008B06BB">
        <w:rPr>
          <w:i/>
          <w:color w:val="0070C0"/>
        </w:rPr>
        <w:t>o operate at the same location and to permit a dual licensee</w:t>
      </w:r>
      <w:r w:rsidR="003D0C3C" w:rsidRPr="00E22586">
        <w:rPr>
          <w:i/>
          <w:color w:val="0070C0"/>
        </w:rPr>
        <w:t xml:space="preserve"> to serve patients and recreational customers in the same retail area</w:t>
      </w:r>
      <w:r w:rsidR="008B06BB">
        <w:rPr>
          <w:i/>
          <w:color w:val="0070C0"/>
        </w:rPr>
        <w:t xml:space="preserve"> without the need to make </w:t>
      </w:r>
      <w:r w:rsidR="004A1F2F" w:rsidRPr="00E22586">
        <w:rPr>
          <w:i/>
          <w:color w:val="0070C0"/>
        </w:rPr>
        <w:t>changes in the design and construction of licensed medical marijuana dispensaries to allow for dual use</w:t>
      </w:r>
      <w:r w:rsidR="003D0C3C" w:rsidRPr="00E22586">
        <w:rPr>
          <w:i/>
          <w:color w:val="0070C0"/>
        </w:rPr>
        <w:t xml:space="preserve">.    </w:t>
      </w:r>
    </w:p>
    <w:p w14:paraId="2F5AB03A" w14:textId="77777777" w:rsidR="00AF130E" w:rsidRDefault="00AF130E" w:rsidP="00280946">
      <w:pPr>
        <w:spacing w:after="0"/>
        <w:ind w:firstLine="360"/>
      </w:pPr>
    </w:p>
    <w:p w14:paraId="30B137E5" w14:textId="736481CF" w:rsidR="00783B58" w:rsidRPr="00E22586" w:rsidRDefault="00783B58" w:rsidP="00066CED">
      <w:pPr>
        <w:spacing w:after="0"/>
        <w:ind w:left="720"/>
        <w:rPr>
          <w:i/>
          <w:color w:val="0070C0"/>
        </w:rPr>
      </w:pPr>
      <w:r w:rsidRPr="00E22586">
        <w:rPr>
          <w:i/>
          <w:color w:val="0070C0"/>
        </w:rPr>
        <w:t xml:space="preserve">These recommendations are based on the following propositions: </w:t>
      </w:r>
    </w:p>
    <w:p w14:paraId="44BA70B8" w14:textId="77777777" w:rsidR="00E22586" w:rsidRDefault="00E22586" w:rsidP="00783B58">
      <w:pPr>
        <w:spacing w:after="0"/>
        <w:ind w:firstLine="360"/>
      </w:pPr>
    </w:p>
    <w:p w14:paraId="4F735A38" w14:textId="211BCE1F" w:rsidR="00783B58" w:rsidRPr="00E22586" w:rsidRDefault="00783B58" w:rsidP="00E22586">
      <w:pPr>
        <w:pStyle w:val="ListParagraph"/>
        <w:numPr>
          <w:ilvl w:val="0"/>
          <w:numId w:val="2"/>
        </w:numPr>
        <w:spacing w:after="0"/>
        <w:ind w:firstLine="0"/>
        <w:jc w:val="both"/>
        <w:rPr>
          <w:i/>
          <w:color w:val="0070C0"/>
        </w:rPr>
      </w:pPr>
      <w:r w:rsidRPr="00E22586">
        <w:rPr>
          <w:i/>
          <w:color w:val="0070C0"/>
        </w:rPr>
        <w:t xml:space="preserve">The Nevada medical marijuana program leads the nation in its testing, tracking, security, and cleanliness standards;  </w:t>
      </w:r>
    </w:p>
    <w:p w14:paraId="17590085" w14:textId="4033A380" w:rsidR="00783B58" w:rsidRPr="00E22586" w:rsidRDefault="00783B58" w:rsidP="00E22586">
      <w:pPr>
        <w:pStyle w:val="ListParagraph"/>
        <w:numPr>
          <w:ilvl w:val="0"/>
          <w:numId w:val="2"/>
        </w:numPr>
        <w:spacing w:after="0"/>
        <w:ind w:firstLine="0"/>
        <w:jc w:val="both"/>
        <w:rPr>
          <w:i/>
          <w:color w:val="0070C0"/>
        </w:rPr>
      </w:pPr>
      <w:r w:rsidRPr="00E22586">
        <w:rPr>
          <w:i/>
          <w:color w:val="0070C0"/>
        </w:rPr>
        <w:t xml:space="preserve">The Nevada medical marijuana program has been successful in protecting patient and public health and safety; </w:t>
      </w:r>
    </w:p>
    <w:p w14:paraId="4C75B08D" w14:textId="181429EA" w:rsidR="00783B58" w:rsidRPr="00E22586" w:rsidRDefault="00783B58" w:rsidP="00E22586">
      <w:pPr>
        <w:pStyle w:val="ListParagraph"/>
        <w:numPr>
          <w:ilvl w:val="0"/>
          <w:numId w:val="2"/>
        </w:numPr>
        <w:spacing w:after="0"/>
        <w:ind w:firstLine="0"/>
        <w:jc w:val="both"/>
        <w:rPr>
          <w:i/>
          <w:color w:val="0070C0"/>
        </w:rPr>
      </w:pPr>
      <w:r w:rsidRPr="00E22586">
        <w:rPr>
          <w:i/>
          <w:color w:val="0070C0"/>
        </w:rPr>
        <w:t xml:space="preserve">Nevada has successfully avoided the public health problems other states with legalized marijuana have faced; </w:t>
      </w:r>
    </w:p>
    <w:p w14:paraId="5A0300F1" w14:textId="0B4541EF" w:rsidR="00783B58" w:rsidRPr="00E22586" w:rsidRDefault="00783B58" w:rsidP="00E22586">
      <w:pPr>
        <w:pStyle w:val="ListParagraph"/>
        <w:numPr>
          <w:ilvl w:val="0"/>
          <w:numId w:val="2"/>
        </w:numPr>
        <w:spacing w:after="0"/>
        <w:ind w:firstLine="0"/>
        <w:jc w:val="both"/>
        <w:rPr>
          <w:i/>
          <w:color w:val="0070C0"/>
        </w:rPr>
      </w:pPr>
      <w:r w:rsidRPr="00E22586">
        <w:rPr>
          <w:i/>
          <w:color w:val="0070C0"/>
        </w:rPr>
        <w:t>Colorado and Oregon regulators have emphasized the benefits of combin</w:t>
      </w:r>
      <w:r w:rsidR="00EE427D">
        <w:rPr>
          <w:i/>
          <w:color w:val="0070C0"/>
        </w:rPr>
        <w:t>in</w:t>
      </w:r>
      <w:r w:rsidRPr="00E22586">
        <w:rPr>
          <w:i/>
          <w:color w:val="0070C0"/>
        </w:rPr>
        <w:t xml:space="preserve">g the medical and recreational marijuana programs; </w:t>
      </w:r>
    </w:p>
    <w:p w14:paraId="75F16EDE" w14:textId="719AC0F5" w:rsidR="00E9081E" w:rsidRPr="00E22586" w:rsidRDefault="00783B58" w:rsidP="00E22586">
      <w:pPr>
        <w:pStyle w:val="ListParagraph"/>
        <w:numPr>
          <w:ilvl w:val="0"/>
          <w:numId w:val="2"/>
        </w:numPr>
        <w:spacing w:after="0"/>
        <w:ind w:firstLine="0"/>
        <w:jc w:val="both"/>
        <w:rPr>
          <w:i/>
          <w:color w:val="0070C0"/>
        </w:rPr>
      </w:pPr>
      <w:r w:rsidRPr="00E22586">
        <w:rPr>
          <w:i/>
          <w:color w:val="0070C0"/>
        </w:rPr>
        <w:t>Colorado and Oregon regulators have advised Nevada legislators to avoid the inefficiencies and confusion that results from having separate med</w:t>
      </w:r>
      <w:r w:rsidR="00AF130E" w:rsidRPr="00E22586">
        <w:rPr>
          <w:i/>
          <w:color w:val="0070C0"/>
        </w:rPr>
        <w:t>ical and recreational programs; and</w:t>
      </w:r>
    </w:p>
    <w:p w14:paraId="1386D225" w14:textId="3F566CDA" w:rsidR="00AF130E" w:rsidRPr="00E22586" w:rsidRDefault="00AF130E" w:rsidP="00E22586">
      <w:pPr>
        <w:pStyle w:val="ListParagraph"/>
        <w:numPr>
          <w:ilvl w:val="0"/>
          <w:numId w:val="2"/>
        </w:numPr>
        <w:spacing w:after="0"/>
        <w:ind w:firstLine="0"/>
        <w:jc w:val="both"/>
        <w:rPr>
          <w:i/>
          <w:color w:val="0070C0"/>
        </w:rPr>
      </w:pPr>
      <w:r w:rsidRPr="00E22586">
        <w:rPr>
          <w:i/>
          <w:color w:val="0070C0"/>
        </w:rPr>
        <w:t xml:space="preserve">IP1 expressly states that the Department of Taxation may not pass regulations that would make operation of a marijuana business unreasonably impracticable. </w:t>
      </w:r>
    </w:p>
    <w:p w14:paraId="4A3730F6" w14:textId="77777777" w:rsidR="00E9081E" w:rsidRPr="00E22586" w:rsidRDefault="00E9081E" w:rsidP="00E22586">
      <w:pPr>
        <w:spacing w:after="0"/>
        <w:rPr>
          <w:i/>
          <w:color w:val="0070C0"/>
        </w:rPr>
      </w:pPr>
    </w:p>
    <w:p w14:paraId="425E2003" w14:textId="2FCD5F2E" w:rsidR="00E9081E" w:rsidRDefault="00DC4C91" w:rsidP="00E9081E">
      <w:pPr>
        <w:pStyle w:val="ListParagraph"/>
        <w:numPr>
          <w:ilvl w:val="0"/>
          <w:numId w:val="1"/>
        </w:numPr>
        <w:spacing w:after="0"/>
      </w:pPr>
      <w:r>
        <w:t>Which guiding p</w:t>
      </w:r>
      <w:r w:rsidR="00E9081E" w:rsidRPr="003110FB">
        <w:t>rinciple(s) does this recommendation support?</w:t>
      </w:r>
    </w:p>
    <w:p w14:paraId="7E5196F1" w14:textId="77777777" w:rsidR="00E22586" w:rsidRDefault="00E22586" w:rsidP="00E22586">
      <w:pPr>
        <w:spacing w:after="0"/>
      </w:pPr>
    </w:p>
    <w:p w14:paraId="03EA1C69" w14:textId="77777777" w:rsidR="00DD6E3A" w:rsidRDefault="00DD6E3A" w:rsidP="00DD6E3A">
      <w:pPr>
        <w:pStyle w:val="ListParagraph"/>
        <w:spacing w:after="0"/>
        <w:jc w:val="both"/>
        <w:rPr>
          <w:i/>
          <w:color w:val="2E74B5" w:themeColor="accent1" w:themeShade="BF"/>
        </w:rPr>
      </w:pPr>
      <w:r>
        <w:rPr>
          <w:i/>
          <w:color w:val="2E74B5" w:themeColor="accent1" w:themeShade="BF"/>
        </w:rPr>
        <w:t xml:space="preserve">Guiding Principle </w:t>
      </w:r>
      <w:r w:rsidRPr="005B0D05">
        <w:rPr>
          <w:i/>
          <w:color w:val="2E74B5" w:themeColor="accent1" w:themeShade="BF"/>
        </w:rPr>
        <w:t>2</w:t>
      </w:r>
      <w:r>
        <w:rPr>
          <w:i/>
          <w:color w:val="2E74B5" w:themeColor="accent1" w:themeShade="BF"/>
        </w:rPr>
        <w:t xml:space="preserve"> </w:t>
      </w:r>
      <w:r w:rsidRPr="005B0D05">
        <w:rPr>
          <w:i/>
          <w:color w:val="2E74B5" w:themeColor="accent1" w:themeShade="BF"/>
        </w:rPr>
        <w:t>-</w:t>
      </w:r>
      <w:r>
        <w:rPr>
          <w:i/>
          <w:color w:val="2E74B5" w:themeColor="accent1" w:themeShade="BF"/>
        </w:rPr>
        <w:t xml:space="preserve"> </w:t>
      </w:r>
      <w:r w:rsidRPr="005B0D05">
        <w:rPr>
          <w:i/>
          <w:color w:val="2E74B5" w:themeColor="accent1" w:themeShade="BF"/>
        </w:rPr>
        <w:t>Be responsive to the needs and issues of consumers, non-consumers, local governments and the industry</w:t>
      </w:r>
    </w:p>
    <w:p w14:paraId="4E87735E" w14:textId="77777777" w:rsidR="00DD6E3A" w:rsidRDefault="00DD6E3A" w:rsidP="00DD6E3A">
      <w:pPr>
        <w:pStyle w:val="ListParagraph"/>
        <w:spacing w:after="0"/>
        <w:jc w:val="both"/>
        <w:rPr>
          <w:i/>
          <w:color w:val="2E74B5" w:themeColor="accent1" w:themeShade="BF"/>
        </w:rPr>
      </w:pPr>
    </w:p>
    <w:p w14:paraId="25A8A7F6" w14:textId="77777777" w:rsidR="00DD6E3A" w:rsidRPr="009A07BB" w:rsidRDefault="00DD6E3A" w:rsidP="00DD6E3A">
      <w:pPr>
        <w:tabs>
          <w:tab w:val="left" w:pos="8613"/>
        </w:tabs>
        <w:spacing w:after="200" w:line="300" w:lineRule="exact"/>
        <w:ind w:left="720" w:right="693"/>
        <w:jc w:val="both"/>
        <w:rPr>
          <w:rFonts w:ascii="Calibri" w:hAnsi="Calibri"/>
          <w:i/>
          <w:color w:val="2E74B5" w:themeColor="accent1" w:themeShade="BF"/>
        </w:rPr>
      </w:pPr>
      <w:r>
        <w:rPr>
          <w:rFonts w:ascii="Calibri" w:hAnsi="Calibri"/>
          <w:i/>
          <w:color w:val="2E74B5" w:themeColor="accent1" w:themeShade="BF"/>
        </w:rPr>
        <w:t>Guiding Principle 4 -</w:t>
      </w:r>
      <w:r>
        <w:rPr>
          <w:rFonts w:ascii="Calibri" w:hAnsi="Calibri"/>
          <w:sz w:val="32"/>
          <w:szCs w:val="32"/>
        </w:rPr>
        <w:t xml:space="preserve"> </w:t>
      </w:r>
      <w:r w:rsidRPr="00EA2C41">
        <w:rPr>
          <w:rFonts w:ascii="Calibri" w:hAnsi="Calibri"/>
          <w:i/>
          <w:color w:val="2E74B5" w:themeColor="accent1" w:themeShade="BF"/>
        </w:rPr>
        <w:t>Propose efficient and effective regulation that is clear and reasonable and not unduly burdensome</w:t>
      </w:r>
    </w:p>
    <w:p w14:paraId="089C1892" w14:textId="17B83624" w:rsidR="00AF130E" w:rsidRPr="00DD6E3A" w:rsidRDefault="00DD6E3A" w:rsidP="00DD6E3A">
      <w:pPr>
        <w:pStyle w:val="ListParagraph"/>
        <w:spacing w:after="0"/>
        <w:jc w:val="both"/>
        <w:rPr>
          <w:i/>
          <w:color w:val="2E74B5" w:themeColor="accent1" w:themeShade="BF"/>
        </w:rPr>
      </w:pPr>
      <w:r>
        <w:rPr>
          <w:i/>
          <w:color w:val="2E74B5" w:themeColor="accent1" w:themeShade="BF"/>
        </w:rPr>
        <w:lastRenderedPageBreak/>
        <w:t xml:space="preserve">Guiding Principle </w:t>
      </w:r>
      <w:r w:rsidRPr="005B0D05">
        <w:rPr>
          <w:i/>
          <w:color w:val="2E74B5" w:themeColor="accent1" w:themeShade="BF"/>
        </w:rPr>
        <w:t>6</w:t>
      </w:r>
      <w:r>
        <w:rPr>
          <w:i/>
          <w:color w:val="2E74B5" w:themeColor="accent1" w:themeShade="BF"/>
        </w:rPr>
        <w:t xml:space="preserve"> </w:t>
      </w:r>
      <w:r w:rsidRPr="005B0D05">
        <w:rPr>
          <w:i/>
          <w:color w:val="2E74B5" w:themeColor="accent1" w:themeShade="BF"/>
        </w:rPr>
        <w:t>-</w:t>
      </w:r>
      <w:r>
        <w:rPr>
          <w:i/>
          <w:color w:val="2E74B5" w:themeColor="accent1" w:themeShade="BF"/>
        </w:rPr>
        <w:t xml:space="preserve"> </w:t>
      </w:r>
      <w:r w:rsidRPr="005B0D05">
        <w:rPr>
          <w:i/>
          <w:color w:val="2E74B5" w:themeColor="accent1" w:themeShade="BF"/>
        </w:rPr>
        <w:t>Establish regulations that are clear and practical, so that interactions between law enforcement, consumers, and licensees are predictable and understandable</w:t>
      </w:r>
    </w:p>
    <w:p w14:paraId="2DC7E08C" w14:textId="77777777" w:rsidR="00E9081E" w:rsidRPr="003110FB" w:rsidRDefault="00E9081E" w:rsidP="00E9081E">
      <w:pPr>
        <w:spacing w:after="0"/>
      </w:pPr>
    </w:p>
    <w:p w14:paraId="1101C2C5" w14:textId="77777777" w:rsidR="00DD6E3A" w:rsidRDefault="00E9081E" w:rsidP="00E9081E">
      <w:pPr>
        <w:pStyle w:val="ListParagraph"/>
        <w:numPr>
          <w:ilvl w:val="0"/>
          <w:numId w:val="1"/>
        </w:numPr>
        <w:spacing w:after="0"/>
      </w:pPr>
      <w:r w:rsidRPr="003110FB">
        <w:t xml:space="preserve">What provision(s) of Question 2 does this recommendation apply to? </w:t>
      </w:r>
    </w:p>
    <w:p w14:paraId="67FE160D" w14:textId="0B99C22E" w:rsidR="00E9081E" w:rsidRPr="003110FB" w:rsidRDefault="00E9081E" w:rsidP="00DD6E3A">
      <w:pPr>
        <w:pStyle w:val="ListParagraph"/>
        <w:spacing w:after="0"/>
      </w:pPr>
      <w:r w:rsidRPr="003110FB">
        <w:t xml:space="preserve"> </w:t>
      </w:r>
    </w:p>
    <w:p w14:paraId="19A0DD99" w14:textId="47F40C6A" w:rsidR="00E9081E" w:rsidRPr="00DD6E3A" w:rsidRDefault="00A8431A" w:rsidP="00DD6E3A">
      <w:pPr>
        <w:spacing w:after="0"/>
        <w:ind w:left="720"/>
        <w:jc w:val="both"/>
        <w:rPr>
          <w:i/>
          <w:color w:val="0070C0"/>
        </w:rPr>
      </w:pPr>
      <w:r w:rsidRPr="00DD6E3A">
        <w:rPr>
          <w:i/>
          <w:color w:val="0070C0"/>
        </w:rPr>
        <w:t>This recommendation applies to Initiative Petition 1 (“IP1”), Section 5, which bestows the responsibility for regulating recreational marijuana in the Department of Taxation</w:t>
      </w:r>
      <w:r w:rsidR="00783B58" w:rsidRPr="00DD6E3A">
        <w:rPr>
          <w:i/>
          <w:color w:val="0070C0"/>
        </w:rPr>
        <w:t xml:space="preserve"> and allows for a “dual license”</w:t>
      </w:r>
      <w:r w:rsidR="00AF130E" w:rsidRPr="00DD6E3A">
        <w:rPr>
          <w:i/>
          <w:color w:val="0070C0"/>
        </w:rPr>
        <w:t xml:space="preserve"> of retail and medical establishments.</w:t>
      </w:r>
      <w:r w:rsidRPr="00DD6E3A">
        <w:rPr>
          <w:i/>
          <w:color w:val="0070C0"/>
        </w:rPr>
        <w:t xml:space="preserve">  Under the Nevada Constitution, an initiative petition cannot be amended by the Nevada Legislature for three (3) years.  Therefore, in order to </w:t>
      </w:r>
      <w:r w:rsidR="00AF130E" w:rsidRPr="00DD6E3A">
        <w:rPr>
          <w:i/>
          <w:color w:val="0070C0"/>
        </w:rPr>
        <w:t>implement</w:t>
      </w:r>
      <w:r w:rsidR="00783B58" w:rsidRPr="00DD6E3A">
        <w:rPr>
          <w:i/>
          <w:color w:val="0070C0"/>
        </w:rPr>
        <w:t xml:space="preserve"> dual use establishments, any NRS or NAC must comply with IP1 and any NRS revisions must be made to the medical program under NAC 453A and not to IP1. </w:t>
      </w:r>
      <w:r w:rsidRPr="00DD6E3A">
        <w:rPr>
          <w:i/>
          <w:color w:val="0070C0"/>
        </w:rPr>
        <w:t xml:space="preserve">   </w:t>
      </w:r>
    </w:p>
    <w:p w14:paraId="069D583B" w14:textId="77777777" w:rsidR="00AF130E" w:rsidRPr="003110FB" w:rsidRDefault="00AF130E" w:rsidP="00AF130E">
      <w:pPr>
        <w:spacing w:after="0"/>
      </w:pPr>
    </w:p>
    <w:p w14:paraId="527A1772" w14:textId="77777777" w:rsidR="007A4A8C" w:rsidRPr="003110FB" w:rsidRDefault="00E9081E" w:rsidP="00E9081E">
      <w:pPr>
        <w:pStyle w:val="ListParagraph"/>
        <w:numPr>
          <w:ilvl w:val="0"/>
          <w:numId w:val="1"/>
        </w:numPr>
        <w:spacing w:after="0"/>
      </w:pPr>
      <w:r w:rsidRPr="003110FB">
        <w:t>What issue(s) does the recommendation resolve?</w:t>
      </w:r>
    </w:p>
    <w:p w14:paraId="1B327355" w14:textId="77777777" w:rsidR="008924A8" w:rsidRDefault="008924A8" w:rsidP="005C5D7F">
      <w:pPr>
        <w:spacing w:after="0"/>
        <w:ind w:left="360"/>
      </w:pPr>
    </w:p>
    <w:p w14:paraId="3E3A0F7A" w14:textId="1B8A6910" w:rsidR="005C5D7F" w:rsidRPr="00DD6E3A" w:rsidRDefault="00783B58" w:rsidP="00DD6E3A">
      <w:pPr>
        <w:spacing w:after="0"/>
        <w:ind w:left="720"/>
        <w:jc w:val="both"/>
        <w:rPr>
          <w:i/>
          <w:color w:val="0070C0"/>
        </w:rPr>
      </w:pPr>
      <w:r w:rsidRPr="00DD6E3A">
        <w:rPr>
          <w:i/>
          <w:color w:val="0070C0"/>
        </w:rPr>
        <w:t xml:space="preserve">This recommendation carries out the </w:t>
      </w:r>
      <w:r w:rsidR="005C5D7F" w:rsidRPr="00DD6E3A">
        <w:rPr>
          <w:i/>
          <w:color w:val="0070C0"/>
        </w:rPr>
        <w:t>provision in IP1 that allow for dual license establishments.</w:t>
      </w:r>
    </w:p>
    <w:p w14:paraId="5C6BCCA4" w14:textId="6E5CAC68" w:rsidR="001B0ADC" w:rsidRPr="00DD6E3A" w:rsidRDefault="005C5D7F" w:rsidP="00DD6E3A">
      <w:pPr>
        <w:spacing w:after="0"/>
        <w:ind w:left="720"/>
        <w:jc w:val="both"/>
        <w:rPr>
          <w:i/>
          <w:color w:val="0070C0"/>
        </w:rPr>
      </w:pPr>
      <w:r w:rsidRPr="00DD6E3A">
        <w:rPr>
          <w:i/>
          <w:color w:val="0070C0"/>
        </w:rPr>
        <w:t xml:space="preserve">IP1 allots a certain number of retail marijuana dispensaries and allows the owners of a medical marijuana establishment license to also “operate a marijuana establishment.”  IP1 anticipates that these will be operated at the same location and allowing them to operate at the same location promotes efficiency and a reduction in the physical number of establishments.  </w:t>
      </w:r>
    </w:p>
    <w:p w14:paraId="7ABEA5B8" w14:textId="77777777" w:rsidR="001B0ADC" w:rsidRPr="003110FB" w:rsidRDefault="001B0ADC" w:rsidP="001B0ADC">
      <w:pPr>
        <w:spacing w:after="0"/>
      </w:pPr>
    </w:p>
    <w:p w14:paraId="30E263BB" w14:textId="50AA82F7" w:rsidR="00E9081E" w:rsidRDefault="001B0ADC" w:rsidP="00E9081E">
      <w:pPr>
        <w:pStyle w:val="ListParagraph"/>
        <w:numPr>
          <w:ilvl w:val="0"/>
          <w:numId w:val="1"/>
        </w:numPr>
        <w:spacing w:after="0"/>
      </w:pPr>
      <w:r w:rsidRPr="003110FB">
        <w:t>Was there dissent in the group regarding this recommendation?  If yes, please provide a summary of the dissenting opinion regarding the recommendation.</w:t>
      </w:r>
    </w:p>
    <w:p w14:paraId="386F26DB" w14:textId="77777777" w:rsidR="008924A8" w:rsidRPr="003110FB" w:rsidRDefault="008924A8" w:rsidP="00AF130E">
      <w:pPr>
        <w:pStyle w:val="ListParagraph"/>
        <w:spacing w:after="0"/>
      </w:pPr>
    </w:p>
    <w:p w14:paraId="7818C550" w14:textId="6A11099F" w:rsidR="00E9081E" w:rsidRPr="00953B4B" w:rsidRDefault="008B06BB" w:rsidP="00953B4B">
      <w:pPr>
        <w:spacing w:after="0"/>
        <w:ind w:left="720"/>
        <w:jc w:val="both"/>
        <w:rPr>
          <w:i/>
          <w:color w:val="0070C0"/>
        </w:rPr>
      </w:pPr>
      <w:r>
        <w:rPr>
          <w:i/>
          <w:color w:val="0070C0"/>
        </w:rPr>
        <w:t>None</w:t>
      </w:r>
    </w:p>
    <w:p w14:paraId="797F3A33" w14:textId="77777777" w:rsidR="008924A8" w:rsidRPr="003110FB" w:rsidRDefault="008924A8" w:rsidP="00E9081E">
      <w:pPr>
        <w:spacing w:after="0"/>
      </w:pPr>
    </w:p>
    <w:p w14:paraId="6333FE17" w14:textId="77777777" w:rsidR="00E9081E" w:rsidRPr="003110FB" w:rsidRDefault="00E9081E" w:rsidP="007A4A8C">
      <w:pPr>
        <w:pStyle w:val="ListParagraph"/>
        <w:numPr>
          <w:ilvl w:val="0"/>
          <w:numId w:val="1"/>
        </w:numPr>
        <w:spacing w:after="0"/>
      </w:pPr>
      <w:r w:rsidRPr="003110FB">
        <w:t>What action(</w:t>
      </w:r>
      <w:r w:rsidR="00B70E4E" w:rsidRPr="003110FB">
        <w:t>s</w:t>
      </w:r>
      <w:r w:rsidRPr="003110FB">
        <w:t>)</w:t>
      </w:r>
      <w:r w:rsidR="00B70E4E" w:rsidRPr="003110FB">
        <w:t xml:space="preserve"> </w:t>
      </w:r>
      <w:r w:rsidRPr="003110FB">
        <w:t>will be necessary to a</w:t>
      </w:r>
      <w:r w:rsidR="006B0A7E" w:rsidRPr="003110FB">
        <w:t>dopt the recommendation?  Will statute, policy, r</w:t>
      </w:r>
      <w:r w:rsidRPr="003110FB">
        <w:t>egulations, etc. need to be addressed?</w:t>
      </w:r>
    </w:p>
    <w:p w14:paraId="5CA7B542" w14:textId="77777777" w:rsidR="00E9081E" w:rsidRPr="003110FB" w:rsidRDefault="00E9081E" w:rsidP="00E9081E">
      <w:pPr>
        <w:pStyle w:val="ListParagraph"/>
        <w:spacing w:after="0"/>
      </w:pPr>
    </w:p>
    <w:p w14:paraId="28E19D50" w14:textId="668EE1D6" w:rsidR="00E9081E" w:rsidRPr="00953B4B" w:rsidRDefault="004E1544" w:rsidP="00953B4B">
      <w:pPr>
        <w:spacing w:after="0"/>
        <w:ind w:left="720"/>
        <w:jc w:val="both"/>
        <w:rPr>
          <w:i/>
          <w:color w:val="0070C0"/>
        </w:rPr>
      </w:pPr>
      <w:r w:rsidRPr="00953B4B">
        <w:rPr>
          <w:i/>
          <w:color w:val="0070C0"/>
        </w:rPr>
        <w:t>NRS requires revisions as it currently only</w:t>
      </w:r>
      <w:r w:rsidR="008924A8" w:rsidRPr="00953B4B">
        <w:rPr>
          <w:i/>
          <w:color w:val="0070C0"/>
        </w:rPr>
        <w:t xml:space="preserve"> addresses the medical program.  </w:t>
      </w:r>
      <w:r w:rsidR="00E818ED" w:rsidRPr="00953B4B">
        <w:rPr>
          <w:i/>
          <w:color w:val="0070C0"/>
        </w:rPr>
        <w:t xml:space="preserve">The retail marijuana program should be set forth in NRS 453A, or a separate section, for example, NRS 453E. </w:t>
      </w:r>
    </w:p>
    <w:p w14:paraId="6E62C578" w14:textId="77777777" w:rsidR="00E9081E" w:rsidRPr="003110FB" w:rsidRDefault="00E9081E" w:rsidP="00E9081E">
      <w:pPr>
        <w:pStyle w:val="ListParagraph"/>
        <w:spacing w:after="0"/>
      </w:pPr>
    </w:p>
    <w:p w14:paraId="1EC95596" w14:textId="7858F08D" w:rsidR="00DD1A10" w:rsidRPr="003110FB" w:rsidRDefault="00CC30A8" w:rsidP="007A4A8C">
      <w:pPr>
        <w:pStyle w:val="ListParagraph"/>
        <w:numPr>
          <w:ilvl w:val="0"/>
          <w:numId w:val="1"/>
        </w:numPr>
        <w:spacing w:after="0"/>
      </w:pPr>
      <w:r w:rsidRPr="003110FB">
        <w:t xml:space="preserve">Additional information (cost of implementation, priority according to the recommendations, </w:t>
      </w:r>
      <w:proofErr w:type="spellStart"/>
      <w:r w:rsidRPr="003110FB">
        <w:t>etc</w:t>
      </w:r>
      <w:proofErr w:type="spellEnd"/>
      <w:r w:rsidRPr="003110FB">
        <w:t>)</w:t>
      </w:r>
      <w:r w:rsidR="00B70E4E" w:rsidRPr="003110FB">
        <w:t>.</w:t>
      </w:r>
    </w:p>
    <w:p w14:paraId="6BBB2368" w14:textId="77777777" w:rsidR="00753FA6" w:rsidRPr="003110FB" w:rsidRDefault="00753FA6" w:rsidP="007A4A8C">
      <w:pPr>
        <w:spacing w:after="0"/>
      </w:pPr>
    </w:p>
    <w:p w14:paraId="054A4F76" w14:textId="28B32DB5" w:rsidR="00753FA6" w:rsidRPr="00953B4B" w:rsidRDefault="00953B4B" w:rsidP="009201F4">
      <w:pPr>
        <w:spacing w:after="0"/>
        <w:ind w:left="810" w:hanging="90"/>
        <w:rPr>
          <w:b/>
          <w:i/>
          <w:color w:val="0070C0"/>
          <w:sz w:val="18"/>
          <w:szCs w:val="18"/>
        </w:rPr>
      </w:pPr>
      <w:r w:rsidRPr="00953B4B">
        <w:rPr>
          <w:i/>
          <w:color w:val="0070C0"/>
        </w:rPr>
        <w:t>None</w:t>
      </w:r>
    </w:p>
    <w:sectPr w:rsidR="00753FA6" w:rsidRPr="00953B4B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5C646A" w14:textId="77777777" w:rsidR="00E55F0E" w:rsidRDefault="00E55F0E" w:rsidP="00391997">
      <w:pPr>
        <w:spacing w:after="0" w:line="240" w:lineRule="auto"/>
      </w:pPr>
      <w:r>
        <w:separator/>
      </w:r>
    </w:p>
  </w:endnote>
  <w:endnote w:type="continuationSeparator" w:id="0">
    <w:p w14:paraId="6F0DD7D1" w14:textId="77777777" w:rsidR="00E55F0E" w:rsidRDefault="00E55F0E" w:rsidP="00391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A4DC67" w14:textId="090032F3" w:rsidR="00AF130E" w:rsidRPr="00F43822" w:rsidRDefault="00AF130E" w:rsidP="00F43822">
    <w:pPr>
      <w:tabs>
        <w:tab w:val="center" w:pos="4680"/>
        <w:tab w:val="right" w:pos="9360"/>
      </w:tabs>
      <w:spacing w:after="0" w:line="240" w:lineRule="auto"/>
      <w:rPr>
        <w:rFonts w:ascii="Calibri" w:eastAsia="Times New Roman" w:hAnsi="Calibri" w:cs="Times New Roman"/>
        <w:i/>
        <w:color w:val="3737A5"/>
        <w:sz w:val="16"/>
        <w:szCs w:val="16"/>
      </w:rPr>
    </w:pPr>
    <w:r>
      <w:rPr>
        <w:rFonts w:ascii="Arial" w:eastAsia="Times New Roman" w:hAnsi="Arial" w:cs="Times New Roman"/>
        <w:i/>
        <w:noProof/>
        <w:color w:val="3737A5"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5DB5857" wp14:editId="4AD8B2AF">
              <wp:simplePos x="0" y="0"/>
              <wp:positionH relativeFrom="column">
                <wp:posOffset>0</wp:posOffset>
              </wp:positionH>
              <wp:positionV relativeFrom="paragraph">
                <wp:posOffset>-36830</wp:posOffset>
              </wp:positionV>
              <wp:extent cx="5943600" cy="0"/>
              <wp:effectExtent l="9525" t="10795" r="9525" b="8255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7EF5B7B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9pt" to="468pt,-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" o:allowincell="f" strokecolor="navy" strokeweight="1pt"/>
          </w:pict>
        </mc:Fallback>
      </mc:AlternateContent>
    </w:r>
    <w:r w:rsidR="00221CE2">
      <w:rPr>
        <w:rFonts w:ascii="Calibri" w:eastAsia="Times New Roman" w:hAnsi="Calibri" w:cs="Times New Roman"/>
        <w:b/>
        <w:i/>
        <w:color w:val="3737A5"/>
        <w:sz w:val="16"/>
        <w:szCs w:val="16"/>
      </w:rPr>
      <w:t xml:space="preserve">Dual Use Medical and Retail </w:t>
    </w:r>
    <w:r w:rsidR="00E349FA">
      <w:rPr>
        <w:rFonts w:ascii="Calibri" w:eastAsia="Times New Roman" w:hAnsi="Calibri" w:cs="Times New Roman"/>
        <w:b/>
        <w:i/>
        <w:color w:val="3737A5"/>
        <w:sz w:val="16"/>
        <w:szCs w:val="16"/>
      </w:rPr>
      <w:t>v.</w:t>
    </w:r>
    <w:r w:rsidR="00EE427D">
      <w:rPr>
        <w:rFonts w:ascii="Calibri" w:eastAsia="Times New Roman" w:hAnsi="Calibri" w:cs="Times New Roman"/>
        <w:b/>
        <w:i/>
        <w:color w:val="3737A5"/>
        <w:sz w:val="16"/>
        <w:szCs w:val="16"/>
      </w:rPr>
      <w:t>3</w:t>
    </w:r>
    <w:r w:rsidR="00E349FA">
      <w:rPr>
        <w:rFonts w:ascii="Calibri" w:eastAsia="Times New Roman" w:hAnsi="Calibri" w:cs="Times New Roman"/>
        <w:b/>
        <w:i/>
        <w:color w:val="3737A5"/>
        <w:sz w:val="16"/>
        <w:szCs w:val="16"/>
      </w:rPr>
      <w:t xml:space="preserve"> </w:t>
    </w:r>
    <w:r w:rsidR="00221CE2">
      <w:rPr>
        <w:rFonts w:ascii="Calibri" w:eastAsia="Times New Roman" w:hAnsi="Calibri" w:cs="Times New Roman"/>
        <w:b/>
        <w:i/>
        <w:color w:val="3737A5"/>
        <w:sz w:val="16"/>
        <w:szCs w:val="16"/>
      </w:rPr>
      <w:t>- Recommendation</w:t>
    </w:r>
    <w:r w:rsidRPr="00F43822">
      <w:rPr>
        <w:rFonts w:ascii="Calibri" w:eastAsia="Times New Roman" w:hAnsi="Calibri" w:cs="Times New Roman"/>
        <w:bCs/>
        <w:i/>
        <w:color w:val="3737A5"/>
        <w:sz w:val="16"/>
        <w:szCs w:val="16"/>
      </w:rPr>
      <w:tab/>
    </w:r>
    <w:r w:rsidRPr="00F43822">
      <w:rPr>
        <w:rFonts w:ascii="Calibri" w:eastAsia="Times New Roman" w:hAnsi="Calibri" w:cs="Times New Roman"/>
        <w:bCs/>
        <w:i/>
        <w:color w:val="3737A5"/>
        <w:sz w:val="16"/>
        <w:szCs w:val="16"/>
      </w:rPr>
      <w:tab/>
    </w:r>
    <w:r w:rsidR="00221CE2">
      <w:rPr>
        <w:rFonts w:ascii="Calibri" w:eastAsia="Times New Roman" w:hAnsi="Calibri" w:cs="Times New Roman"/>
        <w:bCs/>
        <w:i/>
        <w:color w:val="3737A5"/>
        <w:sz w:val="16"/>
        <w:szCs w:val="16"/>
      </w:rPr>
      <w:t>April 14</w:t>
    </w:r>
    <w:r>
      <w:rPr>
        <w:rFonts w:ascii="Calibri" w:eastAsia="Times New Roman" w:hAnsi="Calibri" w:cs="Times New Roman"/>
        <w:bCs/>
        <w:i/>
        <w:color w:val="3737A5"/>
        <w:sz w:val="16"/>
        <w:szCs w:val="16"/>
      </w:rPr>
      <w:t>, 2017</w:t>
    </w:r>
  </w:p>
  <w:p w14:paraId="3EA83F4C" w14:textId="53E31E85" w:rsidR="00AF130E" w:rsidRPr="00F43822" w:rsidRDefault="00AF130E" w:rsidP="00F43822">
    <w:pPr>
      <w:tabs>
        <w:tab w:val="center" w:pos="4680"/>
        <w:tab w:val="right" w:pos="9360"/>
      </w:tabs>
      <w:spacing w:after="0" w:line="240" w:lineRule="auto"/>
      <w:jc w:val="right"/>
      <w:rPr>
        <w:rFonts w:ascii="Calibri" w:eastAsia="Times New Roman" w:hAnsi="Calibri" w:cs="Times New Roman"/>
        <w:i/>
        <w:color w:val="3737A5"/>
        <w:sz w:val="16"/>
        <w:szCs w:val="16"/>
      </w:rPr>
    </w:pPr>
  </w:p>
  <w:p w14:paraId="57912551" w14:textId="77777777" w:rsidR="00AF130E" w:rsidRDefault="00AF13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D5ACAB" w14:textId="77777777" w:rsidR="00E55F0E" w:rsidRDefault="00E55F0E" w:rsidP="00391997">
      <w:pPr>
        <w:spacing w:after="0" w:line="240" w:lineRule="auto"/>
      </w:pPr>
      <w:r>
        <w:separator/>
      </w:r>
    </w:p>
  </w:footnote>
  <w:footnote w:type="continuationSeparator" w:id="0">
    <w:p w14:paraId="03262A69" w14:textId="77777777" w:rsidR="00E55F0E" w:rsidRDefault="00E55F0E" w:rsidP="003919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CF608A" w14:textId="3B4CDCEB" w:rsidR="00AF130E" w:rsidRPr="00F43822" w:rsidRDefault="00380B84" w:rsidP="008313F9">
    <w:pPr>
      <w:pStyle w:val="Heading2"/>
      <w:ind w:left="0"/>
      <w:jc w:val="center"/>
      <w:rPr>
        <w:sz w:val="22"/>
        <w:szCs w:val="22"/>
      </w:rPr>
    </w:pPr>
    <w:r>
      <w:rPr>
        <w:sz w:val="22"/>
        <w:szCs w:val="22"/>
      </w:rPr>
      <w:t>Dual Use</w:t>
    </w:r>
    <w:r w:rsidR="001C0982">
      <w:rPr>
        <w:sz w:val="22"/>
        <w:szCs w:val="22"/>
      </w:rPr>
      <w:t xml:space="preserve"> Medical and Retail</w:t>
    </w:r>
    <w:r>
      <w:rPr>
        <w:sz w:val="22"/>
        <w:szCs w:val="22"/>
      </w:rPr>
      <w:t xml:space="preserve"> - Recommendation</w:t>
    </w:r>
  </w:p>
  <w:p w14:paraId="17B7899E" w14:textId="77777777" w:rsidR="00AF130E" w:rsidRDefault="00AF130E" w:rsidP="008313F9">
    <w:pPr>
      <w:pStyle w:val="Header"/>
      <w:jc w:val="center"/>
    </w:pPr>
    <w:r>
      <w:rPr>
        <w:noProof/>
      </w:rPr>
      <w:drawing>
        <wp:inline distT="0" distB="0" distL="0" distR="0" wp14:anchorId="1297EA96" wp14:editId="690F2A6C">
          <wp:extent cx="5751055" cy="47625"/>
          <wp:effectExtent l="0" t="0" r="254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6394" cy="55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DD26AA"/>
    <w:multiLevelType w:val="hybridMultilevel"/>
    <w:tmpl w:val="CAC472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B90BEF"/>
    <w:multiLevelType w:val="hybridMultilevel"/>
    <w:tmpl w:val="1FAED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6E2"/>
    <w:rsid w:val="00002F6E"/>
    <w:rsid w:val="00060468"/>
    <w:rsid w:val="00066CED"/>
    <w:rsid w:val="000A61D0"/>
    <w:rsid w:val="000B01A4"/>
    <w:rsid w:val="000D1417"/>
    <w:rsid w:val="00114EF2"/>
    <w:rsid w:val="001866F9"/>
    <w:rsid w:val="001B0ADC"/>
    <w:rsid w:val="001B10FF"/>
    <w:rsid w:val="001C0982"/>
    <w:rsid w:val="00202E4C"/>
    <w:rsid w:val="00221CE2"/>
    <w:rsid w:val="0023729A"/>
    <w:rsid w:val="00280946"/>
    <w:rsid w:val="003110FB"/>
    <w:rsid w:val="00380B84"/>
    <w:rsid w:val="00391997"/>
    <w:rsid w:val="003D0C3C"/>
    <w:rsid w:val="004039AB"/>
    <w:rsid w:val="00435662"/>
    <w:rsid w:val="00442A3F"/>
    <w:rsid w:val="0047536B"/>
    <w:rsid w:val="004907D2"/>
    <w:rsid w:val="004A1F2F"/>
    <w:rsid w:val="004D29C1"/>
    <w:rsid w:val="004E1544"/>
    <w:rsid w:val="00565923"/>
    <w:rsid w:val="005C5D7F"/>
    <w:rsid w:val="005E102D"/>
    <w:rsid w:val="006B0A7E"/>
    <w:rsid w:val="006D4662"/>
    <w:rsid w:val="00700DCA"/>
    <w:rsid w:val="00734CA0"/>
    <w:rsid w:val="00753FA6"/>
    <w:rsid w:val="007644F0"/>
    <w:rsid w:val="007746E2"/>
    <w:rsid w:val="00774894"/>
    <w:rsid w:val="007765FD"/>
    <w:rsid w:val="00783B58"/>
    <w:rsid w:val="007A4A8C"/>
    <w:rsid w:val="008313F9"/>
    <w:rsid w:val="00882EE9"/>
    <w:rsid w:val="008924A8"/>
    <w:rsid w:val="008B06BB"/>
    <w:rsid w:val="008D5094"/>
    <w:rsid w:val="008F0634"/>
    <w:rsid w:val="009201F4"/>
    <w:rsid w:val="009264B2"/>
    <w:rsid w:val="00953B4B"/>
    <w:rsid w:val="00957E83"/>
    <w:rsid w:val="00961D8A"/>
    <w:rsid w:val="009805E6"/>
    <w:rsid w:val="00996A51"/>
    <w:rsid w:val="009D1938"/>
    <w:rsid w:val="009F3552"/>
    <w:rsid w:val="00A312E6"/>
    <w:rsid w:val="00A65F54"/>
    <w:rsid w:val="00A8431A"/>
    <w:rsid w:val="00AB71F7"/>
    <w:rsid w:val="00AF130E"/>
    <w:rsid w:val="00B11C15"/>
    <w:rsid w:val="00B70E4E"/>
    <w:rsid w:val="00BC0B03"/>
    <w:rsid w:val="00BC0F10"/>
    <w:rsid w:val="00BF6BBC"/>
    <w:rsid w:val="00C42484"/>
    <w:rsid w:val="00CC30A8"/>
    <w:rsid w:val="00CC717C"/>
    <w:rsid w:val="00D22E65"/>
    <w:rsid w:val="00D926ED"/>
    <w:rsid w:val="00D92BBB"/>
    <w:rsid w:val="00DA287B"/>
    <w:rsid w:val="00DC4C91"/>
    <w:rsid w:val="00DD1A10"/>
    <w:rsid w:val="00DD6E3A"/>
    <w:rsid w:val="00DE0ABD"/>
    <w:rsid w:val="00E22586"/>
    <w:rsid w:val="00E349FA"/>
    <w:rsid w:val="00E55F0E"/>
    <w:rsid w:val="00E74843"/>
    <w:rsid w:val="00E818ED"/>
    <w:rsid w:val="00E9081E"/>
    <w:rsid w:val="00E96CEA"/>
    <w:rsid w:val="00EC03A5"/>
    <w:rsid w:val="00EE427D"/>
    <w:rsid w:val="00EF5FDA"/>
    <w:rsid w:val="00F046BC"/>
    <w:rsid w:val="00F27CF2"/>
    <w:rsid w:val="00F43822"/>
    <w:rsid w:val="00FC1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288FEDC"/>
  <w15:docId w15:val="{E800CC6A-92A2-4AEE-8603-3D7078F8B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3822"/>
    <w:pPr>
      <w:keepNext/>
      <w:keepLines/>
      <w:spacing w:before="40" w:after="0" w:line="240" w:lineRule="auto"/>
      <w:ind w:left="720"/>
      <w:jc w:val="both"/>
      <w:outlineLvl w:val="1"/>
    </w:pPr>
    <w:rPr>
      <w:rFonts w:ascii="Cambria" w:eastAsiaTheme="majorEastAsia" w:hAnsi="Cambria" w:cstheme="majorBidi"/>
      <w:b/>
      <w:color w:val="3737A5"/>
      <w:sz w:val="3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4A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1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99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919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1997"/>
  </w:style>
  <w:style w:type="paragraph" w:styleId="Footer">
    <w:name w:val="footer"/>
    <w:basedOn w:val="Normal"/>
    <w:link w:val="FooterChar"/>
    <w:uiPriority w:val="99"/>
    <w:unhideWhenUsed/>
    <w:rsid w:val="003919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1997"/>
  </w:style>
  <w:style w:type="character" w:customStyle="1" w:styleId="Heading2Char">
    <w:name w:val="Heading 2 Char"/>
    <w:basedOn w:val="DefaultParagraphFont"/>
    <w:link w:val="Heading2"/>
    <w:uiPriority w:val="9"/>
    <w:rsid w:val="00F43822"/>
    <w:rPr>
      <w:rFonts w:ascii="Cambria" w:eastAsiaTheme="majorEastAsia" w:hAnsi="Cambria" w:cstheme="majorBidi"/>
      <w:b/>
      <w:color w:val="3737A5"/>
      <w:sz w:val="36"/>
      <w:szCs w:val="32"/>
    </w:rPr>
  </w:style>
  <w:style w:type="character" w:styleId="Hyperlink">
    <w:name w:val="Hyperlink"/>
    <w:basedOn w:val="DefaultParagraphFont"/>
    <w:uiPriority w:val="99"/>
    <w:unhideWhenUsed/>
    <w:rsid w:val="00753FA6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27C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7C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7C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7C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7CF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C851CD-49EE-424D-9258-0ECEE27FE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TASK FORCE rePORT</vt:lpstr>
    </vt:vector>
  </TitlesOfParts>
  <Company>Toshiba</Company>
  <LinksUpToDate>false</LinksUpToDate>
  <CharactersWithSpaces>3863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TASK FORCE rePORT</dc:title>
  <dc:creator>mkretch@quantummark.com</dc:creator>
  <cp:lastModifiedBy>mkretch@quantummark.com</cp:lastModifiedBy>
  <cp:revision>3</cp:revision>
  <cp:lastPrinted>2017-03-01T23:42:00Z</cp:lastPrinted>
  <dcterms:created xsi:type="dcterms:W3CDTF">2017-04-13T20:17:00Z</dcterms:created>
  <dcterms:modified xsi:type="dcterms:W3CDTF">2017-04-13T20:18:00Z</dcterms:modified>
</cp:coreProperties>
</file>